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BCB" w:rsidRPr="00F77142" w:rsidRDefault="00E65BCB" w:rsidP="00A103D8">
      <w:pPr>
        <w:widowControl/>
        <w:autoSpaceDE/>
        <w:autoSpaceDN/>
        <w:spacing w:line="360" w:lineRule="auto"/>
        <w:jc w:val="both"/>
        <w:rPr>
          <w:rFonts w:ascii="Tahoma" w:eastAsia="Times New Roman" w:hAnsi="Tahoma" w:cs="Tahoma"/>
          <w:sz w:val="24"/>
          <w:szCs w:val="24"/>
          <w:lang w:bidi="ar-SA"/>
        </w:rPr>
      </w:pPr>
      <w:r w:rsidRPr="00F77142">
        <w:rPr>
          <w:rFonts w:ascii="Tahoma" w:eastAsia="Times New Roman" w:hAnsi="Tahoma" w:cs="Tahoma"/>
          <w:sz w:val="24"/>
          <w:szCs w:val="24"/>
          <w:lang w:bidi="ar-SA"/>
        </w:rPr>
        <w:t xml:space="preserve">Informacja prasowa, </w:t>
      </w:r>
      <w:r w:rsidR="00F42AD2">
        <w:rPr>
          <w:rFonts w:ascii="Tahoma" w:eastAsia="Times New Roman" w:hAnsi="Tahoma" w:cs="Tahoma"/>
          <w:sz w:val="24"/>
          <w:szCs w:val="24"/>
          <w:lang w:bidi="ar-SA"/>
        </w:rPr>
        <w:t>maj</w:t>
      </w:r>
      <w:r w:rsidR="006876DB" w:rsidRPr="00F77142">
        <w:rPr>
          <w:rFonts w:ascii="Tahoma" w:eastAsia="Times New Roman" w:hAnsi="Tahoma" w:cs="Tahoma"/>
          <w:sz w:val="24"/>
          <w:szCs w:val="24"/>
          <w:lang w:bidi="ar-SA"/>
        </w:rPr>
        <w:t xml:space="preserve"> 2020</w:t>
      </w:r>
    </w:p>
    <w:p w:rsidR="006876DB" w:rsidRPr="00F77142" w:rsidRDefault="006876DB" w:rsidP="00A103D8">
      <w:pPr>
        <w:widowControl/>
        <w:autoSpaceDE/>
        <w:autoSpaceDN/>
        <w:spacing w:line="360" w:lineRule="auto"/>
        <w:jc w:val="both"/>
        <w:rPr>
          <w:rFonts w:ascii="Tahoma" w:eastAsia="Times New Roman" w:hAnsi="Tahoma" w:cs="Tahoma"/>
          <w:sz w:val="24"/>
          <w:szCs w:val="24"/>
          <w:lang w:bidi="ar-SA"/>
        </w:rPr>
      </w:pPr>
    </w:p>
    <w:p w:rsidR="00F42AD2" w:rsidRDefault="00F42AD2" w:rsidP="00F42AD2">
      <w:pPr>
        <w:spacing w:line="360" w:lineRule="auto"/>
        <w:ind w:left="1416" w:hanging="1416"/>
        <w:jc w:val="both"/>
        <w:rPr>
          <w:rFonts w:ascii="Tahoma" w:hAnsi="Tahoma" w:cs="Tahoma"/>
          <w:b/>
          <w:sz w:val="24"/>
          <w:szCs w:val="24"/>
        </w:rPr>
      </w:pPr>
      <w:r w:rsidRPr="00BA3F67">
        <w:rPr>
          <w:rFonts w:ascii="Tahoma" w:hAnsi="Tahoma" w:cs="Tahoma"/>
          <w:b/>
          <w:sz w:val="24"/>
          <w:szCs w:val="24"/>
        </w:rPr>
        <w:t>Etykiety RFID w pojemnikach wielokrotnego użytku w przemyśle</w:t>
      </w:r>
    </w:p>
    <w:p w:rsidR="00F42AD2" w:rsidRPr="00BA3F67" w:rsidRDefault="00F42AD2" w:rsidP="00F42AD2">
      <w:pPr>
        <w:spacing w:line="360" w:lineRule="auto"/>
        <w:ind w:left="1416" w:hanging="1416"/>
        <w:jc w:val="both"/>
        <w:rPr>
          <w:rFonts w:ascii="Tahoma" w:hAnsi="Tahoma" w:cs="Tahoma"/>
          <w:b/>
          <w:sz w:val="24"/>
          <w:szCs w:val="24"/>
        </w:rPr>
      </w:pPr>
    </w:p>
    <w:p w:rsidR="00F42AD2" w:rsidRDefault="00F42AD2" w:rsidP="00F42AD2">
      <w:pPr>
        <w:spacing w:line="360" w:lineRule="auto"/>
        <w:jc w:val="both"/>
        <w:rPr>
          <w:rFonts w:ascii="Tahoma" w:hAnsi="Tahoma" w:cs="Tahoma"/>
          <w:b/>
          <w:sz w:val="24"/>
          <w:szCs w:val="24"/>
        </w:rPr>
      </w:pPr>
      <w:r w:rsidRPr="00BA3F67">
        <w:rPr>
          <w:rFonts w:ascii="Tahoma" w:hAnsi="Tahoma" w:cs="Tahoma"/>
          <w:b/>
          <w:sz w:val="24"/>
          <w:szCs w:val="24"/>
        </w:rPr>
        <w:t xml:space="preserve">Bez względu na branżę, w wielu zakładach produkcyjnych niedocenionymi elementami są pojemniki wielokrotnego użytku. Planiści, kierownicy produkcji, czy wreszcie bezpośredni pracownicy produkcyjni głównie skupiają się na komponentach, półproduktach i finalnych wyrobach. Wiele z tych elementów musi być w jakiś sposób transportowana, czy to na stanowiska produkcyjne, do punktów obróbki (lakiernie, spawalnie, montownie), czy ostatecznie na magazyn lub do klienta końcowego. Automatyzacja produkcji przemysłowej nie będzie jednak możliwa bez wykorzystania pojemników wielokrotnego użytku, na których znajdować będą się etykiety RFID. </w:t>
      </w:r>
    </w:p>
    <w:p w:rsidR="00F42AD2" w:rsidRPr="00BA3F67" w:rsidRDefault="00F42AD2" w:rsidP="00F42AD2">
      <w:pPr>
        <w:spacing w:line="360" w:lineRule="auto"/>
        <w:jc w:val="both"/>
        <w:rPr>
          <w:rFonts w:ascii="Tahoma" w:hAnsi="Tahoma" w:cs="Tahoma"/>
          <w:b/>
          <w:sz w:val="24"/>
          <w:szCs w:val="24"/>
        </w:rPr>
      </w:pPr>
    </w:p>
    <w:p w:rsidR="00F42AD2" w:rsidRDefault="00F42AD2" w:rsidP="00F42AD2">
      <w:pPr>
        <w:keepNext/>
        <w:spacing w:line="360" w:lineRule="auto"/>
        <w:jc w:val="center"/>
      </w:pPr>
      <w:r>
        <w:rPr>
          <w:rFonts w:ascii="Tahoma" w:hAnsi="Tahoma" w:cs="Tahoma"/>
          <w:noProof/>
          <w:sz w:val="24"/>
          <w:szCs w:val="24"/>
        </w:rPr>
        <w:drawing>
          <wp:inline distT="0" distB="0" distL="0" distR="0">
            <wp:extent cx="4080510" cy="2720340"/>
            <wp:effectExtent l="19050" t="0" r="0" b="0"/>
            <wp:docPr id="3" name="Obraz 0" descr="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8.jpg"/>
                    <pic:cNvPicPr/>
                  </pic:nvPicPr>
                  <pic:blipFill>
                    <a:blip r:embed="rId8" cstate="print"/>
                    <a:stretch>
                      <a:fillRect/>
                    </a:stretch>
                  </pic:blipFill>
                  <pic:spPr>
                    <a:xfrm>
                      <a:off x="0" y="0"/>
                      <a:ext cx="4081460" cy="2720973"/>
                    </a:xfrm>
                    <a:prstGeom prst="rect">
                      <a:avLst/>
                    </a:prstGeom>
                  </pic:spPr>
                </pic:pic>
              </a:graphicData>
            </a:graphic>
          </wp:inline>
        </w:drawing>
      </w:r>
    </w:p>
    <w:p w:rsidR="00F42AD2" w:rsidRPr="009E05E1" w:rsidRDefault="00F42AD2" w:rsidP="00F42AD2">
      <w:pPr>
        <w:pStyle w:val="Legenda"/>
        <w:jc w:val="center"/>
        <w:rPr>
          <w:rFonts w:ascii="Tahoma" w:hAnsi="Tahoma" w:cs="Tahoma"/>
          <w:sz w:val="20"/>
          <w:szCs w:val="20"/>
        </w:rPr>
      </w:pPr>
      <w:r w:rsidRPr="009E05E1">
        <w:rPr>
          <w:rFonts w:ascii="Tahoma" w:hAnsi="Tahoma" w:cs="Tahoma"/>
          <w:sz w:val="20"/>
          <w:szCs w:val="20"/>
        </w:rPr>
        <w:t>Etykiety RFID w przemyśle</w:t>
      </w:r>
    </w:p>
    <w:p w:rsidR="00F42AD2" w:rsidRDefault="00F42AD2" w:rsidP="00F42AD2">
      <w:pPr>
        <w:spacing w:line="360" w:lineRule="auto"/>
        <w:jc w:val="both"/>
        <w:rPr>
          <w:rFonts w:ascii="Tahoma" w:hAnsi="Tahoma" w:cs="Tahoma"/>
          <w:b/>
          <w:sz w:val="24"/>
          <w:szCs w:val="24"/>
        </w:rPr>
      </w:pPr>
    </w:p>
    <w:p w:rsidR="00F42AD2" w:rsidRPr="00BA3F67" w:rsidRDefault="00F42AD2" w:rsidP="00F42AD2">
      <w:pPr>
        <w:spacing w:line="360" w:lineRule="auto"/>
        <w:jc w:val="both"/>
        <w:rPr>
          <w:rFonts w:ascii="Tahoma" w:hAnsi="Tahoma" w:cs="Tahoma"/>
          <w:b/>
          <w:sz w:val="24"/>
          <w:szCs w:val="24"/>
        </w:rPr>
      </w:pPr>
      <w:r w:rsidRPr="00BA3F67">
        <w:rPr>
          <w:rFonts w:ascii="Tahoma" w:hAnsi="Tahoma" w:cs="Tahoma"/>
          <w:b/>
          <w:sz w:val="24"/>
          <w:szCs w:val="24"/>
        </w:rPr>
        <w:t>Automatyzacja produkcji – zarządzanie opakowaniami</w:t>
      </w:r>
    </w:p>
    <w:p w:rsidR="00F42AD2" w:rsidRPr="00BA3F67" w:rsidRDefault="00F42AD2" w:rsidP="00F42AD2">
      <w:pPr>
        <w:spacing w:line="360" w:lineRule="auto"/>
        <w:jc w:val="both"/>
        <w:rPr>
          <w:rFonts w:ascii="Tahoma" w:hAnsi="Tahoma" w:cs="Tahoma"/>
          <w:sz w:val="24"/>
          <w:szCs w:val="24"/>
        </w:rPr>
      </w:pPr>
      <w:r w:rsidRPr="00BA3F67">
        <w:rPr>
          <w:rFonts w:ascii="Tahoma" w:hAnsi="Tahoma" w:cs="Tahoma"/>
          <w:sz w:val="24"/>
          <w:szCs w:val="24"/>
        </w:rPr>
        <w:t>Wykorzystywane są do tego różnego rodzaju pojemniki wielokrotnego użycia, tzw. RTI (</w:t>
      </w:r>
      <w:proofErr w:type="spellStart"/>
      <w:r w:rsidRPr="00BA3F67">
        <w:rPr>
          <w:rFonts w:ascii="Tahoma" w:hAnsi="Tahoma" w:cs="Tahoma"/>
          <w:sz w:val="24"/>
          <w:szCs w:val="24"/>
        </w:rPr>
        <w:t>Returnable</w:t>
      </w:r>
      <w:proofErr w:type="spellEnd"/>
      <w:r w:rsidRPr="00BA3F67">
        <w:rPr>
          <w:rFonts w:ascii="Tahoma" w:hAnsi="Tahoma" w:cs="Tahoma"/>
          <w:sz w:val="24"/>
          <w:szCs w:val="24"/>
        </w:rPr>
        <w:t xml:space="preserve"> Transport </w:t>
      </w:r>
      <w:proofErr w:type="spellStart"/>
      <w:r w:rsidRPr="00BA3F67">
        <w:rPr>
          <w:rFonts w:ascii="Tahoma" w:hAnsi="Tahoma" w:cs="Tahoma"/>
          <w:sz w:val="24"/>
          <w:szCs w:val="24"/>
        </w:rPr>
        <w:t>Items</w:t>
      </w:r>
      <w:proofErr w:type="spellEnd"/>
      <w:r w:rsidRPr="00BA3F67">
        <w:rPr>
          <w:rFonts w:ascii="Tahoma" w:hAnsi="Tahoma" w:cs="Tahoma"/>
          <w:sz w:val="24"/>
          <w:szCs w:val="24"/>
        </w:rPr>
        <w:t xml:space="preserve">). Czym tak naprawdę są? To różnego rodzaju kuwety, skrzynki, kontenery, </w:t>
      </w:r>
      <w:r w:rsidRPr="00BA3F67">
        <w:rPr>
          <w:rFonts w:ascii="Tahoma" w:hAnsi="Tahoma" w:cs="Tahoma"/>
          <w:sz w:val="24"/>
          <w:szCs w:val="24"/>
        </w:rPr>
        <w:lastRenderedPageBreak/>
        <w:t xml:space="preserve">pojemniki, czy wózki. Różnią się wielkością, kształtem, a nawet materiałem, z którego są wytworzone. Najczęściej jest to plastik lub metal, ale można również spotkać rozwiązania z drewna, czy innego materiału. W zależności od wykorzystywanego rozwiązania ich koszt może wahać się od kilkudziesięciu złotych do nawet ponad tysiąca. Biorąc pod uwagę fakt, że w zakładzie liczba takich pojemników może się wahać od kilkudziesięciu do nawet kilku, czy kilkudziesięciu tysięcy sztuk , mowa jest więc o elementach o znacznej wartości. </w:t>
      </w:r>
    </w:p>
    <w:p w:rsidR="00F42AD2" w:rsidRPr="00BA3F67"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Właśnie dlatego odpowiednie zarządzanie nimi jest tak istotne. W przeciwnym razie nietrudno wyobrazić sobie sytuację, kiedy produkcja zostaje zatrzymana nie z powodu braku części, a środków do ich transportu (optymalizacja transportu wewnętrznego nie będzie możliwa). Nieodpowiedni nadzór sprzyja bałaganowi, w efekcie którego puste (lub co gorsza - czasem pełne) pojemniki znajdują się w miejscach, w których nie powinno ich być, gdzie nikt się ich nie spodziewa. Czasem wewnątrz zakładu, a innym razem u naszych podwykonawców, czy odbiorców. </w:t>
      </w:r>
    </w:p>
    <w:p w:rsidR="00F42AD2" w:rsidRDefault="00F42AD2" w:rsidP="00F42AD2">
      <w:pPr>
        <w:spacing w:line="360" w:lineRule="auto"/>
        <w:jc w:val="both"/>
        <w:rPr>
          <w:rFonts w:ascii="Tahoma" w:hAnsi="Tahoma" w:cs="Tahoma"/>
          <w:sz w:val="24"/>
          <w:szCs w:val="24"/>
        </w:rPr>
      </w:pPr>
      <w:r w:rsidRPr="00BA3F67">
        <w:rPr>
          <w:rFonts w:ascii="Tahoma" w:hAnsi="Tahoma" w:cs="Tahoma"/>
          <w:sz w:val="24"/>
          <w:szCs w:val="24"/>
        </w:rPr>
        <w:t>Brak pojemników oznacza konieczność inwestycji w nowe. Źle lub wcale nie oznaczone pojemniki mogą prowadzić do błędnych dostaw komponentów, czy produktów. W obu przypadkach to nieuzasadnione koszty. Stąd też istotne jest właściwe ich oznakowanie i zarządzanie.</w:t>
      </w:r>
    </w:p>
    <w:p w:rsidR="00F42AD2" w:rsidRDefault="00F42AD2" w:rsidP="00F42AD2">
      <w:pPr>
        <w:spacing w:line="360" w:lineRule="auto"/>
        <w:jc w:val="both"/>
        <w:rPr>
          <w:rFonts w:ascii="Tahoma" w:hAnsi="Tahoma" w:cs="Tahoma"/>
          <w:sz w:val="24"/>
          <w:szCs w:val="24"/>
        </w:rPr>
      </w:pPr>
    </w:p>
    <w:p w:rsidR="00F42AD2" w:rsidRDefault="00F42AD2" w:rsidP="00F42AD2">
      <w:pPr>
        <w:keepNext/>
        <w:spacing w:line="360" w:lineRule="auto"/>
        <w:jc w:val="center"/>
      </w:pPr>
      <w:r>
        <w:rPr>
          <w:rFonts w:ascii="Tahoma" w:hAnsi="Tahoma" w:cs="Tahoma"/>
          <w:noProof/>
          <w:sz w:val="24"/>
          <w:szCs w:val="24"/>
        </w:rPr>
        <w:drawing>
          <wp:inline distT="0" distB="0" distL="0" distR="0">
            <wp:extent cx="4141470" cy="2760980"/>
            <wp:effectExtent l="19050" t="0" r="0" b="0"/>
            <wp:docPr id="4" name="Obraz 1" descr="IMG_1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4-2.jpg"/>
                    <pic:cNvPicPr/>
                  </pic:nvPicPr>
                  <pic:blipFill>
                    <a:blip r:embed="rId9" cstate="print"/>
                    <a:stretch>
                      <a:fillRect/>
                    </a:stretch>
                  </pic:blipFill>
                  <pic:spPr>
                    <a:xfrm>
                      <a:off x="0" y="0"/>
                      <a:ext cx="4146955" cy="2764637"/>
                    </a:xfrm>
                    <a:prstGeom prst="rect">
                      <a:avLst/>
                    </a:prstGeom>
                  </pic:spPr>
                </pic:pic>
              </a:graphicData>
            </a:graphic>
          </wp:inline>
        </w:drawing>
      </w:r>
    </w:p>
    <w:p w:rsidR="00F42AD2" w:rsidRDefault="00F42AD2" w:rsidP="00F42AD2">
      <w:pPr>
        <w:pStyle w:val="Legenda"/>
        <w:jc w:val="center"/>
        <w:rPr>
          <w:rFonts w:ascii="Tahoma" w:hAnsi="Tahoma" w:cs="Tahoma"/>
          <w:sz w:val="20"/>
          <w:szCs w:val="20"/>
        </w:rPr>
      </w:pPr>
      <w:r w:rsidRPr="009E05E1">
        <w:rPr>
          <w:rFonts w:ascii="Tahoma" w:hAnsi="Tahoma" w:cs="Tahoma"/>
          <w:sz w:val="20"/>
          <w:szCs w:val="20"/>
        </w:rPr>
        <w:t>Etykiety RFID w przemyśle</w:t>
      </w:r>
    </w:p>
    <w:p w:rsidR="00F42AD2" w:rsidRPr="00F42AD2" w:rsidRDefault="00F42AD2" w:rsidP="00F42AD2"/>
    <w:p w:rsidR="00F42AD2" w:rsidRPr="00BA3F67" w:rsidRDefault="00F42AD2" w:rsidP="00F42AD2">
      <w:pPr>
        <w:spacing w:line="360" w:lineRule="auto"/>
        <w:jc w:val="both"/>
        <w:rPr>
          <w:rFonts w:ascii="Tahoma" w:hAnsi="Tahoma" w:cs="Tahoma"/>
          <w:b/>
          <w:sz w:val="24"/>
          <w:szCs w:val="24"/>
        </w:rPr>
      </w:pPr>
      <w:r w:rsidRPr="00BA3F67">
        <w:rPr>
          <w:rFonts w:ascii="Tahoma" w:hAnsi="Tahoma" w:cs="Tahoma"/>
          <w:b/>
          <w:sz w:val="24"/>
          <w:szCs w:val="24"/>
        </w:rPr>
        <w:lastRenderedPageBreak/>
        <w:t>Etykiety RFID – czy sprawdzają się w przemyśle? Opinie Etisoft</w:t>
      </w:r>
    </w:p>
    <w:p w:rsidR="00F42AD2" w:rsidRPr="00BA3F67"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 </w:t>
      </w:r>
      <w:r w:rsidRPr="00BA3F67">
        <w:rPr>
          <w:rFonts w:ascii="Tahoma" w:hAnsi="Tahoma" w:cs="Tahoma"/>
          <w:i/>
          <w:sz w:val="24"/>
          <w:szCs w:val="24"/>
        </w:rPr>
        <w:t xml:space="preserve">Najczęstszym rodzajem oznaczeń są etykiety samoprzylepne. Właściwie dobrana do danego zastosowania etykieta oznacza trwałe i estetyczne oznakowanie, na którym w zależności od potrzeb możemy umieścić dowolne informacje, jak np. logo firmy, identyfikator opakowania lub produktu, kod 1D lub 2D. Coraz częściej drukowanie etykiet samoprzylepnych jest powiązane również ze znakowaniem RFID. Pozwala to na jeszcze efektywniejsze zarządzanie pojemnikami. Brak konieczności bezpośredniej widoczności etykiety RFID przy odczycie, duża odległość odczytu, możliwość jednoczesnego odczytu wielu znaczników, to tylko wybrane z wielu zalet rozwiązań RFID. Dzięki temu możemy sprawniej nadzorować ich ruch, wykonywać inwentaryzację, a automatyzacja procesów produkcyjnych jest o wiele łatwiejsza </w:t>
      </w:r>
      <w:r w:rsidRPr="00BA3F67">
        <w:rPr>
          <w:rFonts w:ascii="Tahoma" w:hAnsi="Tahoma" w:cs="Tahoma"/>
          <w:sz w:val="24"/>
          <w:szCs w:val="24"/>
        </w:rPr>
        <w:t xml:space="preserve">– tłumaczy Dariusz </w:t>
      </w:r>
      <w:proofErr w:type="spellStart"/>
      <w:r w:rsidRPr="00BA3F67">
        <w:rPr>
          <w:rFonts w:ascii="Tahoma" w:hAnsi="Tahoma" w:cs="Tahoma"/>
          <w:sz w:val="24"/>
          <w:szCs w:val="24"/>
        </w:rPr>
        <w:t>J.Kawecki</w:t>
      </w:r>
      <w:proofErr w:type="spellEnd"/>
      <w:r w:rsidRPr="00BA3F67">
        <w:rPr>
          <w:rFonts w:ascii="Tahoma" w:hAnsi="Tahoma" w:cs="Tahoma"/>
          <w:sz w:val="24"/>
          <w:szCs w:val="24"/>
        </w:rPr>
        <w:t xml:space="preserve"> z Etisoft. </w:t>
      </w:r>
    </w:p>
    <w:p w:rsidR="00F42AD2" w:rsidRPr="00BA3F67"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Dodatkową korzyścią z tego typu rozwiązania jest możliwość zapisywania (i modyfikowania) w znaczniku RFID dodatkowych informacji, przez co samo opakowanie może stać się nośnikiem informacji (np. identyfikator produktu, nr zlecenia, czy też status pełny/pusty). </w:t>
      </w:r>
    </w:p>
    <w:p w:rsidR="00F42AD2"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Rozwiązania oparte o RFID pozwalają również, w przypadkach gdzie jest to konieczne, na monitorowanie wybranych parametrów warunków transportu i przechowywania pojemników, takich jak temperatura, czy wilgotność. </w:t>
      </w:r>
    </w:p>
    <w:p w:rsidR="00F42AD2" w:rsidRPr="00BA3F67" w:rsidRDefault="00F42AD2" w:rsidP="00F42AD2">
      <w:pPr>
        <w:spacing w:line="360" w:lineRule="auto"/>
        <w:jc w:val="both"/>
        <w:rPr>
          <w:rFonts w:ascii="Tahoma" w:hAnsi="Tahoma" w:cs="Tahoma"/>
          <w:sz w:val="24"/>
          <w:szCs w:val="24"/>
        </w:rPr>
      </w:pPr>
    </w:p>
    <w:p w:rsidR="00F42AD2" w:rsidRPr="00BA3F67" w:rsidRDefault="00F42AD2" w:rsidP="00F42AD2">
      <w:pPr>
        <w:spacing w:line="360" w:lineRule="auto"/>
        <w:jc w:val="both"/>
        <w:rPr>
          <w:rFonts w:ascii="Tahoma" w:hAnsi="Tahoma" w:cs="Tahoma"/>
          <w:b/>
          <w:sz w:val="24"/>
          <w:szCs w:val="24"/>
        </w:rPr>
      </w:pPr>
      <w:r w:rsidRPr="00BA3F67">
        <w:rPr>
          <w:rFonts w:ascii="Tahoma" w:hAnsi="Tahoma" w:cs="Tahoma"/>
          <w:b/>
          <w:sz w:val="24"/>
          <w:szCs w:val="24"/>
        </w:rPr>
        <w:t>Automatyzacja produkcji przemysłowej- aspekt psychologiczny</w:t>
      </w:r>
    </w:p>
    <w:p w:rsidR="00F42AD2" w:rsidRPr="00BA3F67"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Zautomatyzowany monitoring ruchu pojemników pozwala nie tylko na szybką i łatwą identyfikację ich położenia, ale również np. na informowanie o konieczności serwisowania danego pojemnika, jeśli jest tak konieczność. Na podstawie danych historycznych możemy uzyskać raporty informujące o wysokiej lub niskiej rotacji pojemników i na tej podstawie optymalizować procesy logistyczne. </w:t>
      </w:r>
    </w:p>
    <w:p w:rsidR="00F42AD2" w:rsidRPr="00BA3F67"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Warto również wspomnieć, że odpowiednie oznakowanie ma aspekt psychologiczny. Zarówno pracownicy, jak i podwykonawcy, czy klienci, widząc, że monitorujemy ruch pojemników, sami zaczynają bardziej o nie dbać, wiedząc, że w razie ich zgubienia, czy zniszczenia mogą zostać obciążeni kosztami. </w:t>
      </w:r>
    </w:p>
    <w:p w:rsidR="00F42AD2" w:rsidRPr="00E4307D" w:rsidRDefault="00F42AD2" w:rsidP="00F42AD2">
      <w:pPr>
        <w:spacing w:line="360" w:lineRule="auto"/>
        <w:jc w:val="both"/>
        <w:rPr>
          <w:rFonts w:ascii="Tahoma" w:hAnsi="Tahoma" w:cs="Tahoma"/>
          <w:sz w:val="24"/>
          <w:szCs w:val="24"/>
        </w:rPr>
      </w:pPr>
      <w:r w:rsidRPr="00BA3F67">
        <w:rPr>
          <w:rFonts w:ascii="Tahoma" w:hAnsi="Tahoma" w:cs="Tahoma"/>
          <w:sz w:val="24"/>
          <w:szCs w:val="24"/>
        </w:rPr>
        <w:t xml:space="preserve">Oczywiście, podobnie jak w przypadku standardowych etykiet, ważny jest odpowiedni dobór etykiety RFID w zależności od pojemnika i warunków, w jakich będzie użytkowany. Dotyczy to doboru </w:t>
      </w:r>
      <w:r w:rsidRPr="00BA3F67">
        <w:rPr>
          <w:rFonts w:ascii="Tahoma" w:hAnsi="Tahoma" w:cs="Tahoma"/>
          <w:sz w:val="24"/>
          <w:szCs w:val="24"/>
        </w:rPr>
        <w:lastRenderedPageBreak/>
        <w:t>odpowiedniego materiału, kleju, ale również parametrów samego znacznika. Stąd też istotny jest zarówno wybór dostawcy posiadającego doświadczenie w tym zakresie, jak i możliwość przeprowadzenia ostatecznych testów u klienta.</w:t>
      </w:r>
      <w:r w:rsidRPr="00E4307D">
        <w:rPr>
          <w:rFonts w:ascii="Tahoma" w:hAnsi="Tahoma" w:cs="Tahoma"/>
          <w:sz w:val="24"/>
          <w:szCs w:val="24"/>
        </w:rPr>
        <w:t xml:space="preserve"> </w:t>
      </w:r>
    </w:p>
    <w:p w:rsidR="00F42AD2" w:rsidRPr="00E4307D" w:rsidRDefault="00F42AD2" w:rsidP="00F42AD2">
      <w:pPr>
        <w:spacing w:line="360" w:lineRule="auto"/>
        <w:jc w:val="both"/>
        <w:rPr>
          <w:rFonts w:ascii="Tahoma" w:hAnsi="Tahoma" w:cs="Tahoma"/>
          <w:sz w:val="24"/>
          <w:szCs w:val="24"/>
        </w:rPr>
      </w:pPr>
    </w:p>
    <w:p w:rsidR="009D0AB5" w:rsidRPr="00A103D8" w:rsidRDefault="009D0AB5" w:rsidP="00A103D8">
      <w:pPr>
        <w:spacing w:before="100" w:line="360" w:lineRule="auto"/>
        <w:jc w:val="both"/>
        <w:rPr>
          <w:rFonts w:ascii="Tahoma" w:hAnsi="Tahoma" w:cs="Tahoma"/>
          <w:b/>
          <w:sz w:val="24"/>
          <w:szCs w:val="24"/>
        </w:rPr>
      </w:pPr>
    </w:p>
    <w:sectPr w:rsidR="009D0AB5" w:rsidRPr="00A103D8" w:rsidSect="0069739C">
      <w:headerReference w:type="default" r:id="rId10"/>
      <w:footerReference w:type="default" r:id="rId11"/>
      <w:type w:val="continuous"/>
      <w:pgSz w:w="11910" w:h="16840"/>
      <w:pgMar w:top="2127" w:right="600" w:bottom="280" w:left="600" w:header="708" w:footer="652" w:gutter="0"/>
      <w:cols w:space="5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B2C" w:rsidRDefault="00933B2C" w:rsidP="00812127">
      <w:r>
        <w:separator/>
      </w:r>
    </w:p>
  </w:endnote>
  <w:endnote w:type="continuationSeparator" w:id="0">
    <w:p w:rsidR="00933B2C" w:rsidRDefault="00933B2C" w:rsidP="008121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altName w:val="Trebuchet MS"/>
    <w:charset w:val="EE"/>
    <w:family w:val="swiss"/>
    <w:pitch w:val="variable"/>
    <w:sig w:usb0="A00002FF" w:usb1="5000205B" w:usb2="00000000" w:usb3="00000000" w:csb0="00000097" w:csb1="00000000"/>
  </w:font>
  <w:font w:name="Helvetica Neue LT Pro">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9041E5" w:rsidRDefault="0062159D" w:rsidP="0062159D">
    <w:pPr>
      <w:spacing w:before="100"/>
      <w:ind w:left="120"/>
      <w:rPr>
        <w:rFonts w:ascii="Lato" w:hAnsi="Lato"/>
        <w:b/>
        <w:sz w:val="18"/>
        <w:lang w:val="en-US"/>
      </w:rPr>
    </w:pPr>
    <w:r w:rsidRPr="0062159D">
      <w:rPr>
        <w:noProof/>
        <w:lang w:bidi="ar-SA"/>
      </w:rPr>
      <w:drawing>
        <wp:anchor distT="0" distB="0" distL="114300" distR="114300" simplePos="0" relativeHeight="251657728" behindDoc="1" locked="0" layoutInCell="1" allowOverlap="1">
          <wp:simplePos x="0" y="0"/>
          <wp:positionH relativeFrom="column">
            <wp:posOffset>6238875</wp:posOffset>
          </wp:positionH>
          <wp:positionV relativeFrom="paragraph">
            <wp:posOffset>25096</wp:posOffset>
          </wp:positionV>
          <wp:extent cx="536575" cy="40957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 cy="409575"/>
                  </a:xfrm>
                  <a:prstGeom prst="rect">
                    <a:avLst/>
                  </a:prstGeom>
                  <a:noFill/>
                  <a:ln>
                    <a:noFill/>
                  </a:ln>
                </pic:spPr>
              </pic:pic>
            </a:graphicData>
          </a:graphic>
        </wp:anchor>
      </w:drawing>
    </w:r>
    <w:r w:rsidR="00C2594A" w:rsidRPr="00C2594A">
      <w:rPr>
        <w:noProof/>
      </w:rPr>
      <w:pict>
        <v:line id="Line 1" o:spid="_x0000_s2049" style="position:absolute;left:0;text-align:left;z-index:-251657728;visibility:visible;mso-wrap-distance-left:0;mso-wrap-distance-right:0;mso-position-horizontal-relative:page;mso-position-vertical-relative:text" from="36pt,-.6pt" to="559.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" strokecolor="#b61e42" strokeweight=".25011mm">
          <w10:wrap type="topAndBottom" anchorx="page"/>
        </v:line>
      </w:pict>
    </w:r>
    <w:proofErr w:type="spellStart"/>
    <w:r w:rsidR="009041E5" w:rsidRPr="009041E5">
      <w:rPr>
        <w:rFonts w:ascii="Lato" w:hAnsi="Lato"/>
        <w:b/>
        <w:color w:val="00234B"/>
        <w:sz w:val="18"/>
        <w:lang w:val="en-US"/>
      </w:rPr>
      <w:t>Commplace</w:t>
    </w:r>
    <w:proofErr w:type="spellEnd"/>
    <w:r w:rsidR="009041E5" w:rsidRPr="009041E5">
      <w:rPr>
        <w:rFonts w:ascii="Lato" w:hAnsi="Lato"/>
        <w:b/>
        <w:color w:val="00234B"/>
        <w:sz w:val="18"/>
        <w:lang w:val="en-US"/>
      </w:rPr>
      <w:t xml:space="preserve"> </w:t>
    </w:r>
    <w:r w:rsidRPr="009041E5">
      <w:rPr>
        <w:rFonts w:ascii="Lato" w:hAnsi="Lato"/>
        <w:b/>
        <w:color w:val="00234B"/>
        <w:sz w:val="18"/>
        <w:lang w:val="en-US"/>
      </w:rPr>
      <w:t xml:space="preserve">Sp. z </w:t>
    </w:r>
    <w:proofErr w:type="spellStart"/>
    <w:r w:rsidRPr="009041E5">
      <w:rPr>
        <w:rFonts w:ascii="Lato" w:hAnsi="Lato"/>
        <w:b/>
        <w:color w:val="00234B"/>
        <w:sz w:val="18"/>
        <w:lang w:val="en-US"/>
      </w:rPr>
      <w:t>o.o</w:t>
    </w:r>
    <w:proofErr w:type="spellEnd"/>
    <w:r w:rsidRPr="009041E5">
      <w:rPr>
        <w:rFonts w:ascii="Lato" w:hAnsi="Lato"/>
        <w:b/>
        <w:color w:val="00234B"/>
        <w:sz w:val="18"/>
        <w:lang w:val="en-US"/>
      </w:rPr>
      <w:t xml:space="preserve">. </w:t>
    </w:r>
    <w:proofErr w:type="spellStart"/>
    <w:r w:rsidR="0073666C" w:rsidRPr="009041E5">
      <w:rPr>
        <w:rFonts w:ascii="Lato" w:hAnsi="Lato"/>
        <w:b/>
        <w:color w:val="00234B"/>
        <w:sz w:val="18"/>
        <w:lang w:val="en-US"/>
      </w:rPr>
      <w:t>Sp.K</w:t>
    </w:r>
    <w:proofErr w:type="spellEnd"/>
    <w:r w:rsidR="0073666C" w:rsidRPr="009041E5">
      <w:rPr>
        <w:rFonts w:ascii="Lato" w:hAnsi="Lato"/>
        <w:b/>
        <w:color w:val="00234B"/>
        <w:sz w:val="18"/>
        <w:lang w:val="en-US"/>
      </w:rPr>
      <w:t>.</w:t>
    </w:r>
  </w:p>
  <w:p w:rsidR="0062159D" w:rsidRPr="00D43345" w:rsidRDefault="0062159D" w:rsidP="0062159D">
    <w:pPr>
      <w:pStyle w:val="Tekstpodstawowy"/>
      <w:spacing w:before="80"/>
      <w:ind w:left="120"/>
      <w:rPr>
        <w:rFonts w:ascii="Lato" w:hAnsi="Lato"/>
      </w:rPr>
    </w:pPr>
    <w:r w:rsidRPr="00D43345">
      <w:rPr>
        <w:rFonts w:ascii="Lato" w:hAnsi="Lato"/>
        <w:color w:val="00234B"/>
      </w:rPr>
      <w:t>ul. Liczyrzepy</w:t>
    </w:r>
    <w:r w:rsidRPr="00D43345">
      <w:rPr>
        <w:rFonts w:ascii="Lato" w:hAnsi="Lato"/>
        <w:color w:val="00234B"/>
        <w:spacing w:val="-9"/>
      </w:rPr>
      <w:t xml:space="preserve"> </w:t>
    </w:r>
    <w:r w:rsidRPr="00D43345">
      <w:rPr>
        <w:rFonts w:ascii="Lato" w:hAnsi="Lato"/>
        <w:color w:val="00234B"/>
      </w:rPr>
      <w:t>20</w:t>
    </w:r>
    <w:r>
      <w:rPr>
        <w:rFonts w:ascii="Lato" w:hAnsi="Lato"/>
        <w:color w:val="00234B"/>
      </w:rPr>
      <w:t xml:space="preserve">                                                          </w:t>
    </w:r>
    <w:r w:rsidR="0073666C">
      <w:rPr>
        <w:rFonts w:ascii="Lato" w:hAnsi="Lato"/>
        <w:color w:val="00234B"/>
      </w:rPr>
      <w:t xml:space="preserve">                   </w:t>
    </w:r>
  </w:p>
  <w:p w:rsidR="008D7D17" w:rsidRDefault="0062159D" w:rsidP="0062159D">
    <w:pPr>
      <w:pStyle w:val="Tekstpodstawowy"/>
      <w:spacing w:before="56"/>
      <w:ind w:left="120"/>
      <w:rPr>
        <w:rFonts w:ascii="Lato" w:hAnsi="Lato"/>
        <w:color w:val="00234B"/>
      </w:rPr>
    </w:pPr>
    <w:r w:rsidRPr="00D43345">
      <w:rPr>
        <w:rFonts w:ascii="Lato" w:hAnsi="Lato"/>
        <w:color w:val="00234B"/>
      </w:rPr>
      <w:t>58-564 Sosnówka k. Karpacza</w:t>
    </w:r>
  </w:p>
  <w:p w:rsidR="00AE4EE9" w:rsidRDefault="008D7D17" w:rsidP="00AE4EE9">
    <w:pPr>
      <w:pStyle w:val="Tekstpodstawowy"/>
      <w:spacing w:before="80"/>
      <w:ind w:left="120"/>
      <w:rPr>
        <w:rFonts w:ascii="Lato" w:hAnsi="Lato"/>
      </w:rPr>
    </w:pPr>
    <w:r>
      <w:rPr>
        <w:rFonts w:ascii="Lato" w:hAnsi="Lato"/>
        <w:color w:val="00234B"/>
      </w:rPr>
      <w:t>NIP: 611-280-33-80</w:t>
    </w:r>
    <w:r w:rsidR="0062159D">
      <w:rPr>
        <w:rFonts w:ascii="Lato" w:hAnsi="Lato"/>
      </w:rPr>
      <w:t xml:space="preserve">  </w:t>
    </w:r>
  </w:p>
  <w:p w:rsidR="0062159D" w:rsidRPr="00AE4EE9" w:rsidRDefault="00AE4EE9" w:rsidP="00AE4EE9">
    <w:pPr>
      <w:pStyle w:val="Tekstpodstawowy"/>
      <w:spacing w:before="80"/>
      <w:ind w:left="120"/>
      <w:rPr>
        <w:rFonts w:ascii="Lato" w:hAnsi="Lato"/>
        <w:b/>
      </w:rPr>
    </w:pPr>
    <w:r>
      <w:rPr>
        <w:rFonts w:ascii="Lato" w:hAnsi="Lato"/>
        <w:b/>
      </w:rPr>
      <w:t>c</w:t>
    </w:r>
    <w:r w:rsidRPr="00AE4EE9">
      <w:rPr>
        <w:rFonts w:ascii="Lato" w:hAnsi="Lato"/>
        <w:b/>
      </w:rPr>
      <w:t>ommplace.pl</w:t>
    </w:r>
  </w:p>
  <w:p w:rsidR="0062159D" w:rsidRDefault="006215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B2C" w:rsidRDefault="00933B2C" w:rsidP="00812127">
      <w:r>
        <w:separator/>
      </w:r>
    </w:p>
  </w:footnote>
  <w:footnote w:type="continuationSeparator" w:id="0">
    <w:p w:rsidR="00933B2C" w:rsidRDefault="00933B2C" w:rsidP="0081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9630C9">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720DB"/>
    <w:multiLevelType w:val="multilevel"/>
    <w:tmpl w:val="63EE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427EA"/>
    <w:multiLevelType w:val="hybridMultilevel"/>
    <w:tmpl w:val="0B0E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1B886F65"/>
    <w:multiLevelType w:val="multilevel"/>
    <w:tmpl w:val="8AAC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04A3B"/>
    <w:multiLevelType w:val="hybridMultilevel"/>
    <w:tmpl w:val="6B82E9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9F80CB5"/>
    <w:multiLevelType w:val="multilevel"/>
    <w:tmpl w:val="7C94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D3171D"/>
    <w:multiLevelType w:val="multilevel"/>
    <w:tmpl w:val="F2B6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E73F11"/>
    <w:multiLevelType w:val="multilevel"/>
    <w:tmpl w:val="82AA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2"/>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20"/>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ulTrailSpace/>
  </w:compat>
  <w:rsids>
    <w:rsidRoot w:val="009D0AB5"/>
    <w:rsid w:val="00002B6B"/>
    <w:rsid w:val="00006235"/>
    <w:rsid w:val="00097258"/>
    <w:rsid w:val="000B02A0"/>
    <w:rsid w:val="000D1763"/>
    <w:rsid w:val="000E5644"/>
    <w:rsid w:val="00102529"/>
    <w:rsid w:val="00121BFC"/>
    <w:rsid w:val="00127CA9"/>
    <w:rsid w:val="00135EDA"/>
    <w:rsid w:val="00172AC1"/>
    <w:rsid w:val="00180068"/>
    <w:rsid w:val="001861CD"/>
    <w:rsid w:val="0019045F"/>
    <w:rsid w:val="00193456"/>
    <w:rsid w:val="001A58A2"/>
    <w:rsid w:val="001C0856"/>
    <w:rsid w:val="001E4B6E"/>
    <w:rsid w:val="001F5C91"/>
    <w:rsid w:val="0020273B"/>
    <w:rsid w:val="002152B1"/>
    <w:rsid w:val="002306E2"/>
    <w:rsid w:val="00231C0E"/>
    <w:rsid w:val="00232888"/>
    <w:rsid w:val="00232B06"/>
    <w:rsid w:val="0023730F"/>
    <w:rsid w:val="00241984"/>
    <w:rsid w:val="00250AA9"/>
    <w:rsid w:val="00275924"/>
    <w:rsid w:val="00284CD6"/>
    <w:rsid w:val="00291191"/>
    <w:rsid w:val="00291DE2"/>
    <w:rsid w:val="002E3869"/>
    <w:rsid w:val="00321934"/>
    <w:rsid w:val="00356324"/>
    <w:rsid w:val="00360555"/>
    <w:rsid w:val="003727D9"/>
    <w:rsid w:val="00374CE5"/>
    <w:rsid w:val="0039003B"/>
    <w:rsid w:val="00391232"/>
    <w:rsid w:val="003A0EE0"/>
    <w:rsid w:val="003A645A"/>
    <w:rsid w:val="003B528F"/>
    <w:rsid w:val="003C28AF"/>
    <w:rsid w:val="003D5B18"/>
    <w:rsid w:val="003D6916"/>
    <w:rsid w:val="003F04A7"/>
    <w:rsid w:val="003F088D"/>
    <w:rsid w:val="003F5516"/>
    <w:rsid w:val="004006E7"/>
    <w:rsid w:val="00401723"/>
    <w:rsid w:val="00406C7C"/>
    <w:rsid w:val="00413644"/>
    <w:rsid w:val="00415A2C"/>
    <w:rsid w:val="00420D37"/>
    <w:rsid w:val="0042218E"/>
    <w:rsid w:val="00431142"/>
    <w:rsid w:val="004336ED"/>
    <w:rsid w:val="0043652E"/>
    <w:rsid w:val="00461316"/>
    <w:rsid w:val="00463475"/>
    <w:rsid w:val="00463781"/>
    <w:rsid w:val="00467CBF"/>
    <w:rsid w:val="00476860"/>
    <w:rsid w:val="004835C8"/>
    <w:rsid w:val="004866EC"/>
    <w:rsid w:val="004962FD"/>
    <w:rsid w:val="004A6DB4"/>
    <w:rsid w:val="004B3425"/>
    <w:rsid w:val="004B7AB2"/>
    <w:rsid w:val="004C0A9A"/>
    <w:rsid w:val="004C582C"/>
    <w:rsid w:val="004E3A41"/>
    <w:rsid w:val="00542312"/>
    <w:rsid w:val="0056042B"/>
    <w:rsid w:val="00566362"/>
    <w:rsid w:val="00580DFD"/>
    <w:rsid w:val="00583CED"/>
    <w:rsid w:val="005A26E0"/>
    <w:rsid w:val="005A3787"/>
    <w:rsid w:val="005A3D8F"/>
    <w:rsid w:val="005A6CB9"/>
    <w:rsid w:val="005C2DA3"/>
    <w:rsid w:val="005D584B"/>
    <w:rsid w:val="005D60D8"/>
    <w:rsid w:val="005E2E7D"/>
    <w:rsid w:val="005F209F"/>
    <w:rsid w:val="00603D79"/>
    <w:rsid w:val="00607045"/>
    <w:rsid w:val="0062159D"/>
    <w:rsid w:val="00640FF8"/>
    <w:rsid w:val="00650DFC"/>
    <w:rsid w:val="00653483"/>
    <w:rsid w:val="00654AE4"/>
    <w:rsid w:val="006745EB"/>
    <w:rsid w:val="0068008B"/>
    <w:rsid w:val="0068243D"/>
    <w:rsid w:val="006876DB"/>
    <w:rsid w:val="00695E9C"/>
    <w:rsid w:val="0069739C"/>
    <w:rsid w:val="006A491C"/>
    <w:rsid w:val="006B7102"/>
    <w:rsid w:val="006C77E8"/>
    <w:rsid w:val="006E488F"/>
    <w:rsid w:val="006F7A88"/>
    <w:rsid w:val="00731789"/>
    <w:rsid w:val="00733B04"/>
    <w:rsid w:val="0073666C"/>
    <w:rsid w:val="00736BC5"/>
    <w:rsid w:val="00740D51"/>
    <w:rsid w:val="00777A21"/>
    <w:rsid w:val="00783C31"/>
    <w:rsid w:val="00793C4C"/>
    <w:rsid w:val="0079714E"/>
    <w:rsid w:val="007A545B"/>
    <w:rsid w:val="007A7CA8"/>
    <w:rsid w:val="007C2924"/>
    <w:rsid w:val="007F11F6"/>
    <w:rsid w:val="007F194D"/>
    <w:rsid w:val="00812127"/>
    <w:rsid w:val="0081317D"/>
    <w:rsid w:val="008205C7"/>
    <w:rsid w:val="00844046"/>
    <w:rsid w:val="008601DB"/>
    <w:rsid w:val="00864946"/>
    <w:rsid w:val="00867033"/>
    <w:rsid w:val="0087127D"/>
    <w:rsid w:val="00876C34"/>
    <w:rsid w:val="008911EE"/>
    <w:rsid w:val="008944EC"/>
    <w:rsid w:val="008A4786"/>
    <w:rsid w:val="008A5398"/>
    <w:rsid w:val="008A57DE"/>
    <w:rsid w:val="008D0F9C"/>
    <w:rsid w:val="008D7D17"/>
    <w:rsid w:val="008F4CE3"/>
    <w:rsid w:val="008F7480"/>
    <w:rsid w:val="0090326B"/>
    <w:rsid w:val="009041E5"/>
    <w:rsid w:val="0091608C"/>
    <w:rsid w:val="00922136"/>
    <w:rsid w:val="00926C7D"/>
    <w:rsid w:val="00933B2C"/>
    <w:rsid w:val="0095256F"/>
    <w:rsid w:val="009630C9"/>
    <w:rsid w:val="00977B70"/>
    <w:rsid w:val="0099473B"/>
    <w:rsid w:val="009B31F1"/>
    <w:rsid w:val="009B4023"/>
    <w:rsid w:val="009B4793"/>
    <w:rsid w:val="009B59FC"/>
    <w:rsid w:val="009D0AB5"/>
    <w:rsid w:val="009F2E29"/>
    <w:rsid w:val="00A0575B"/>
    <w:rsid w:val="00A07DD0"/>
    <w:rsid w:val="00A103D8"/>
    <w:rsid w:val="00A1453E"/>
    <w:rsid w:val="00A2265A"/>
    <w:rsid w:val="00A371EF"/>
    <w:rsid w:val="00A71C3F"/>
    <w:rsid w:val="00A7711A"/>
    <w:rsid w:val="00A85FBC"/>
    <w:rsid w:val="00A937ED"/>
    <w:rsid w:val="00AC3E14"/>
    <w:rsid w:val="00AD51B0"/>
    <w:rsid w:val="00AE4EE9"/>
    <w:rsid w:val="00AE58AE"/>
    <w:rsid w:val="00B354F0"/>
    <w:rsid w:val="00B4274A"/>
    <w:rsid w:val="00B4590C"/>
    <w:rsid w:val="00B66C26"/>
    <w:rsid w:val="00B77048"/>
    <w:rsid w:val="00B77906"/>
    <w:rsid w:val="00B82B1C"/>
    <w:rsid w:val="00B960FB"/>
    <w:rsid w:val="00BA0179"/>
    <w:rsid w:val="00BA34DD"/>
    <w:rsid w:val="00BB2BEF"/>
    <w:rsid w:val="00BD5F42"/>
    <w:rsid w:val="00C004BD"/>
    <w:rsid w:val="00C03A0C"/>
    <w:rsid w:val="00C2594A"/>
    <w:rsid w:val="00C45E1B"/>
    <w:rsid w:val="00CC7AE2"/>
    <w:rsid w:val="00CF4BA1"/>
    <w:rsid w:val="00D06F80"/>
    <w:rsid w:val="00D13486"/>
    <w:rsid w:val="00D21CA8"/>
    <w:rsid w:val="00D32A4F"/>
    <w:rsid w:val="00D43345"/>
    <w:rsid w:val="00D44DBB"/>
    <w:rsid w:val="00D74D01"/>
    <w:rsid w:val="00D75242"/>
    <w:rsid w:val="00D81CEF"/>
    <w:rsid w:val="00D87157"/>
    <w:rsid w:val="00D95434"/>
    <w:rsid w:val="00DA0C93"/>
    <w:rsid w:val="00DC09B0"/>
    <w:rsid w:val="00DD0D73"/>
    <w:rsid w:val="00DD4D0D"/>
    <w:rsid w:val="00DF4338"/>
    <w:rsid w:val="00E0355A"/>
    <w:rsid w:val="00E11A73"/>
    <w:rsid w:val="00E12D2E"/>
    <w:rsid w:val="00E20120"/>
    <w:rsid w:val="00E21F0A"/>
    <w:rsid w:val="00E44282"/>
    <w:rsid w:val="00E50BE0"/>
    <w:rsid w:val="00E62D25"/>
    <w:rsid w:val="00E633B1"/>
    <w:rsid w:val="00E65BCB"/>
    <w:rsid w:val="00E90E05"/>
    <w:rsid w:val="00EA3D74"/>
    <w:rsid w:val="00EA6AFA"/>
    <w:rsid w:val="00EC1E3D"/>
    <w:rsid w:val="00ED1313"/>
    <w:rsid w:val="00ED5613"/>
    <w:rsid w:val="00ED772A"/>
    <w:rsid w:val="00EE5E59"/>
    <w:rsid w:val="00EE62B6"/>
    <w:rsid w:val="00F11D51"/>
    <w:rsid w:val="00F2580B"/>
    <w:rsid w:val="00F27F9E"/>
    <w:rsid w:val="00F42AD2"/>
    <w:rsid w:val="00F44AB9"/>
    <w:rsid w:val="00F72F47"/>
    <w:rsid w:val="00F736F0"/>
    <w:rsid w:val="00F77130"/>
    <w:rsid w:val="00F77142"/>
    <w:rsid w:val="00F93F23"/>
    <w:rsid w:val="00F945B4"/>
    <w:rsid w:val="00FB78AC"/>
    <w:rsid w:val="00FC0895"/>
    <w:rsid w:val="00FF34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6F80"/>
    <w:rPr>
      <w:rFonts w:ascii="Raleway" w:eastAsia="Raleway" w:hAnsi="Raleway" w:cs="Raleway"/>
      <w:lang w:val="pl-PL" w:eastAsia="pl-PL" w:bidi="pl-PL"/>
    </w:rPr>
  </w:style>
  <w:style w:type="paragraph" w:styleId="Nagwek3">
    <w:name w:val="heading 3"/>
    <w:basedOn w:val="Normalny"/>
    <w:link w:val="Nagwek3Znak"/>
    <w:uiPriority w:val="9"/>
    <w:qFormat/>
    <w:rsid w:val="00A103D8"/>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B4590C"/>
    <w:tblPr>
      <w:tblInd w:w="0" w:type="dxa"/>
      <w:tblCellMar>
        <w:top w:w="0" w:type="dxa"/>
        <w:left w:w="0" w:type="dxa"/>
        <w:bottom w:w="0" w:type="dxa"/>
        <w:right w:w="0" w:type="dxa"/>
      </w:tblCellMar>
    </w:tblPr>
  </w:style>
  <w:style w:type="paragraph" w:styleId="Tekstpodstawowy">
    <w:name w:val="Body Text"/>
    <w:basedOn w:val="Normalny"/>
    <w:uiPriority w:val="1"/>
    <w:qFormat/>
    <w:rsid w:val="00B4590C"/>
    <w:rPr>
      <w:sz w:val="14"/>
      <w:szCs w:val="14"/>
    </w:rPr>
  </w:style>
  <w:style w:type="paragraph" w:styleId="Akapitzlist">
    <w:name w:val="List Paragraph"/>
    <w:basedOn w:val="Normalny"/>
    <w:uiPriority w:val="34"/>
    <w:qFormat/>
    <w:rsid w:val="00B4590C"/>
  </w:style>
  <w:style w:type="paragraph" w:customStyle="1" w:styleId="TableParagraph">
    <w:name w:val="Table Paragraph"/>
    <w:basedOn w:val="Normalny"/>
    <w:uiPriority w:val="1"/>
    <w:qFormat/>
    <w:rsid w:val="00B4590C"/>
  </w:style>
  <w:style w:type="character" w:styleId="Hipercze">
    <w:name w:val="Hyperlink"/>
    <w:basedOn w:val="Domylnaczcionkaakapitu"/>
    <w:uiPriority w:val="99"/>
    <w:unhideWhenUsed/>
    <w:rsid w:val="00F11D51"/>
    <w:rPr>
      <w:color w:val="6EAC1C" w:themeColor="hyperlink"/>
      <w:u w:val="single"/>
    </w:rPr>
  </w:style>
  <w:style w:type="character" w:customStyle="1" w:styleId="Nierozpoznanawzmianka1">
    <w:name w:val="Nierozpoznana wzmianka1"/>
    <w:basedOn w:val="Domylnaczcionkaakapitu"/>
    <w:uiPriority w:val="99"/>
    <w:semiHidden/>
    <w:unhideWhenUsed/>
    <w:rsid w:val="00F11D51"/>
    <w:rPr>
      <w:color w:val="605E5C"/>
      <w:shd w:val="clear" w:color="auto" w:fill="E1DFDD"/>
    </w:rPr>
  </w:style>
  <w:style w:type="paragraph" w:styleId="Nagwek">
    <w:name w:val="header"/>
    <w:basedOn w:val="Normalny"/>
    <w:link w:val="NagwekZnak"/>
    <w:uiPriority w:val="99"/>
    <w:unhideWhenUsed/>
    <w:rsid w:val="00812127"/>
    <w:pPr>
      <w:tabs>
        <w:tab w:val="center" w:pos="4536"/>
        <w:tab w:val="right" w:pos="9072"/>
      </w:tabs>
    </w:pPr>
  </w:style>
  <w:style w:type="character" w:customStyle="1" w:styleId="NagwekZnak">
    <w:name w:val="Nagłówek Znak"/>
    <w:basedOn w:val="Domylnaczcionkaakapitu"/>
    <w:link w:val="Nagwek"/>
    <w:uiPriority w:val="99"/>
    <w:rsid w:val="00812127"/>
    <w:rPr>
      <w:rFonts w:ascii="Raleway" w:eastAsia="Raleway" w:hAnsi="Raleway" w:cs="Raleway"/>
      <w:lang w:val="pl-PL" w:eastAsia="pl-PL" w:bidi="pl-PL"/>
    </w:rPr>
  </w:style>
  <w:style w:type="paragraph" w:styleId="Stopka">
    <w:name w:val="footer"/>
    <w:basedOn w:val="Normalny"/>
    <w:link w:val="StopkaZnak"/>
    <w:uiPriority w:val="99"/>
    <w:unhideWhenUsed/>
    <w:rsid w:val="00812127"/>
    <w:pPr>
      <w:tabs>
        <w:tab w:val="center" w:pos="4536"/>
        <w:tab w:val="right" w:pos="9072"/>
      </w:tabs>
    </w:pPr>
  </w:style>
  <w:style w:type="character" w:customStyle="1" w:styleId="StopkaZnak">
    <w:name w:val="Stopka Znak"/>
    <w:basedOn w:val="Domylnaczcionkaakapitu"/>
    <w:link w:val="Stopka"/>
    <w:uiPriority w:val="99"/>
    <w:rsid w:val="00812127"/>
    <w:rPr>
      <w:rFonts w:ascii="Raleway" w:eastAsia="Raleway" w:hAnsi="Raleway" w:cs="Raleway"/>
      <w:lang w:val="pl-PL" w:eastAsia="pl-PL" w:bidi="pl-PL"/>
    </w:rPr>
  </w:style>
  <w:style w:type="paragraph" w:customStyle="1" w:styleId="Standard">
    <w:name w:val="Standard"/>
    <w:basedOn w:val="Normalny"/>
    <w:rsid w:val="004A6DB4"/>
    <w:pPr>
      <w:widowControl/>
      <w:autoSpaceDE/>
    </w:pPr>
    <w:rPr>
      <w:rFonts w:ascii="Times New Roman" w:eastAsia="Calibri" w:hAnsi="Times New Roman" w:cs="Times New Roman"/>
      <w:sz w:val="24"/>
      <w:szCs w:val="24"/>
      <w:lang w:eastAsia="zh-CN" w:bidi="ar-SA"/>
    </w:rPr>
  </w:style>
  <w:style w:type="paragraph" w:customStyle="1" w:styleId="Pa4">
    <w:name w:val="Pa4"/>
    <w:basedOn w:val="Standard"/>
    <w:rsid w:val="004A6DB4"/>
    <w:pPr>
      <w:suppressAutoHyphens/>
      <w:spacing w:line="241" w:lineRule="atLeast"/>
      <w:textAlignment w:val="baseline"/>
    </w:pPr>
    <w:rPr>
      <w:rFonts w:ascii="Helvetica Neue LT Pro" w:eastAsia="Arial Unicode MS" w:hAnsi="Helvetica Neue LT Pro" w:cs="Calibri"/>
      <w:kern w:val="3"/>
      <w:lang w:eastAsia="en-US"/>
    </w:rPr>
  </w:style>
  <w:style w:type="paragraph" w:styleId="Tekstdymka">
    <w:name w:val="Balloon Text"/>
    <w:basedOn w:val="Normalny"/>
    <w:link w:val="TekstdymkaZnak"/>
    <w:uiPriority w:val="99"/>
    <w:semiHidden/>
    <w:unhideWhenUsed/>
    <w:rsid w:val="00B66C26"/>
    <w:rPr>
      <w:rFonts w:ascii="Segoe UI" w:hAnsi="Segoe UI" w:cs="Segoe UI"/>
      <w:sz w:val="18"/>
      <w:szCs w:val="18"/>
    </w:rPr>
  </w:style>
  <w:style w:type="character" w:customStyle="1" w:styleId="TekstdymkaZnak">
    <w:name w:val="Tekst dymka Znak"/>
    <w:basedOn w:val="Domylnaczcionkaakapitu"/>
    <w:link w:val="Tekstdymka"/>
    <w:uiPriority w:val="99"/>
    <w:semiHidden/>
    <w:rsid w:val="00B66C26"/>
    <w:rPr>
      <w:rFonts w:ascii="Segoe UI" w:eastAsia="Raleway" w:hAnsi="Segoe UI" w:cs="Segoe UI"/>
      <w:sz w:val="18"/>
      <w:szCs w:val="18"/>
      <w:lang w:val="pl-PL" w:eastAsia="pl-PL" w:bidi="pl-PL"/>
    </w:rPr>
  </w:style>
  <w:style w:type="paragraph" w:styleId="NormalnyWeb">
    <w:name w:val="Normal (Web)"/>
    <w:basedOn w:val="Normalny"/>
    <w:uiPriority w:val="99"/>
    <w:semiHidden/>
    <w:unhideWhenUsed/>
    <w:rsid w:val="00D95434"/>
    <w:pPr>
      <w:widowControl/>
      <w:autoSpaceDE/>
      <w:autoSpaceDN/>
      <w:spacing w:before="100" w:beforeAutospacing="1" w:after="100" w:afterAutospacing="1"/>
    </w:pPr>
    <w:rPr>
      <w:rFonts w:ascii="Calibri" w:eastAsiaTheme="minorHAnsi" w:hAnsi="Calibri" w:cs="Calibri"/>
      <w:lang w:bidi="ar-SA"/>
    </w:rPr>
  </w:style>
  <w:style w:type="table" w:styleId="Tabela-Siatka">
    <w:name w:val="Table Grid"/>
    <w:basedOn w:val="Standardowy"/>
    <w:uiPriority w:val="39"/>
    <w:rsid w:val="00D75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BA0179"/>
    <w:pPr>
      <w:spacing w:after="200"/>
    </w:pPr>
    <w:rPr>
      <w:i/>
      <w:iCs/>
      <w:color w:val="335B74" w:themeColor="text2"/>
      <w:sz w:val="18"/>
      <w:szCs w:val="18"/>
    </w:rPr>
  </w:style>
  <w:style w:type="character" w:styleId="Odwoaniedokomentarza">
    <w:name w:val="annotation reference"/>
    <w:basedOn w:val="Domylnaczcionkaakapitu"/>
    <w:uiPriority w:val="99"/>
    <w:semiHidden/>
    <w:unhideWhenUsed/>
    <w:rsid w:val="006A491C"/>
    <w:rPr>
      <w:sz w:val="16"/>
      <w:szCs w:val="16"/>
    </w:rPr>
  </w:style>
  <w:style w:type="paragraph" w:styleId="Tekstkomentarza">
    <w:name w:val="annotation text"/>
    <w:basedOn w:val="Normalny"/>
    <w:link w:val="TekstkomentarzaZnak"/>
    <w:uiPriority w:val="99"/>
    <w:semiHidden/>
    <w:unhideWhenUsed/>
    <w:rsid w:val="006A491C"/>
    <w:rPr>
      <w:sz w:val="20"/>
      <w:szCs w:val="20"/>
    </w:rPr>
  </w:style>
  <w:style w:type="character" w:customStyle="1" w:styleId="TekstkomentarzaZnak">
    <w:name w:val="Tekst komentarza Znak"/>
    <w:basedOn w:val="Domylnaczcionkaakapitu"/>
    <w:link w:val="Tekstkomentarza"/>
    <w:uiPriority w:val="99"/>
    <w:semiHidden/>
    <w:rsid w:val="006A491C"/>
    <w:rPr>
      <w:rFonts w:ascii="Raleway" w:eastAsia="Raleway" w:hAnsi="Raleway" w:cs="Raleway"/>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6A491C"/>
    <w:rPr>
      <w:b/>
      <w:bCs/>
    </w:rPr>
  </w:style>
  <w:style w:type="character" w:customStyle="1" w:styleId="TematkomentarzaZnak">
    <w:name w:val="Temat komentarza Znak"/>
    <w:basedOn w:val="TekstkomentarzaZnak"/>
    <w:link w:val="Tematkomentarza"/>
    <w:uiPriority w:val="99"/>
    <w:semiHidden/>
    <w:rsid w:val="006A491C"/>
    <w:rPr>
      <w:rFonts w:ascii="Raleway" w:eastAsia="Raleway" w:hAnsi="Raleway" w:cs="Raleway"/>
      <w:b/>
      <w:bCs/>
      <w:sz w:val="20"/>
      <w:szCs w:val="20"/>
      <w:lang w:val="pl-PL" w:eastAsia="pl-PL" w:bidi="pl-PL"/>
    </w:rPr>
  </w:style>
  <w:style w:type="character" w:customStyle="1" w:styleId="Nagwek3Znak">
    <w:name w:val="Nagłówek 3 Znak"/>
    <w:basedOn w:val="Domylnaczcionkaakapitu"/>
    <w:link w:val="Nagwek3"/>
    <w:uiPriority w:val="9"/>
    <w:rsid w:val="00A103D8"/>
    <w:rPr>
      <w:rFonts w:ascii="Times New Roman" w:eastAsia="Times New Roman" w:hAnsi="Times New Roman" w:cs="Times New Roman"/>
      <w:b/>
      <w:bCs/>
      <w:sz w:val="27"/>
      <w:szCs w:val="27"/>
      <w:lang w:val="pl-PL" w:eastAsia="pl-PL"/>
    </w:rPr>
  </w:style>
</w:styles>
</file>

<file path=word/webSettings.xml><?xml version="1.0" encoding="utf-8"?>
<w:webSettings xmlns:r="http://schemas.openxmlformats.org/officeDocument/2006/relationships" xmlns:w="http://schemas.openxmlformats.org/wordprocessingml/2006/main">
  <w:divs>
    <w:div w:id="100224440">
      <w:bodyDiv w:val="1"/>
      <w:marLeft w:val="0"/>
      <w:marRight w:val="0"/>
      <w:marTop w:val="0"/>
      <w:marBottom w:val="0"/>
      <w:divBdr>
        <w:top w:val="none" w:sz="0" w:space="0" w:color="auto"/>
        <w:left w:val="none" w:sz="0" w:space="0" w:color="auto"/>
        <w:bottom w:val="none" w:sz="0" w:space="0" w:color="auto"/>
        <w:right w:val="none" w:sz="0" w:space="0" w:color="auto"/>
      </w:divBdr>
    </w:div>
    <w:div w:id="245000163">
      <w:bodyDiv w:val="1"/>
      <w:marLeft w:val="0"/>
      <w:marRight w:val="0"/>
      <w:marTop w:val="0"/>
      <w:marBottom w:val="0"/>
      <w:divBdr>
        <w:top w:val="none" w:sz="0" w:space="0" w:color="auto"/>
        <w:left w:val="none" w:sz="0" w:space="0" w:color="auto"/>
        <w:bottom w:val="none" w:sz="0" w:space="0" w:color="auto"/>
        <w:right w:val="none" w:sz="0" w:space="0" w:color="auto"/>
      </w:divBdr>
    </w:div>
    <w:div w:id="323164914">
      <w:bodyDiv w:val="1"/>
      <w:marLeft w:val="0"/>
      <w:marRight w:val="0"/>
      <w:marTop w:val="0"/>
      <w:marBottom w:val="0"/>
      <w:divBdr>
        <w:top w:val="none" w:sz="0" w:space="0" w:color="auto"/>
        <w:left w:val="none" w:sz="0" w:space="0" w:color="auto"/>
        <w:bottom w:val="none" w:sz="0" w:space="0" w:color="auto"/>
        <w:right w:val="none" w:sz="0" w:space="0" w:color="auto"/>
      </w:divBdr>
    </w:div>
    <w:div w:id="370375470">
      <w:bodyDiv w:val="1"/>
      <w:marLeft w:val="0"/>
      <w:marRight w:val="0"/>
      <w:marTop w:val="0"/>
      <w:marBottom w:val="0"/>
      <w:divBdr>
        <w:top w:val="none" w:sz="0" w:space="0" w:color="auto"/>
        <w:left w:val="none" w:sz="0" w:space="0" w:color="auto"/>
        <w:bottom w:val="none" w:sz="0" w:space="0" w:color="auto"/>
        <w:right w:val="none" w:sz="0" w:space="0" w:color="auto"/>
      </w:divBdr>
    </w:div>
    <w:div w:id="399442944">
      <w:bodyDiv w:val="1"/>
      <w:marLeft w:val="0"/>
      <w:marRight w:val="0"/>
      <w:marTop w:val="0"/>
      <w:marBottom w:val="0"/>
      <w:divBdr>
        <w:top w:val="none" w:sz="0" w:space="0" w:color="auto"/>
        <w:left w:val="none" w:sz="0" w:space="0" w:color="auto"/>
        <w:bottom w:val="none" w:sz="0" w:space="0" w:color="auto"/>
        <w:right w:val="none" w:sz="0" w:space="0" w:color="auto"/>
      </w:divBdr>
    </w:div>
    <w:div w:id="639268002">
      <w:bodyDiv w:val="1"/>
      <w:marLeft w:val="0"/>
      <w:marRight w:val="0"/>
      <w:marTop w:val="0"/>
      <w:marBottom w:val="0"/>
      <w:divBdr>
        <w:top w:val="none" w:sz="0" w:space="0" w:color="auto"/>
        <w:left w:val="none" w:sz="0" w:space="0" w:color="auto"/>
        <w:bottom w:val="none" w:sz="0" w:space="0" w:color="auto"/>
        <w:right w:val="none" w:sz="0" w:space="0" w:color="auto"/>
      </w:divBdr>
    </w:div>
    <w:div w:id="863984506">
      <w:bodyDiv w:val="1"/>
      <w:marLeft w:val="0"/>
      <w:marRight w:val="0"/>
      <w:marTop w:val="0"/>
      <w:marBottom w:val="0"/>
      <w:divBdr>
        <w:top w:val="none" w:sz="0" w:space="0" w:color="auto"/>
        <w:left w:val="none" w:sz="0" w:space="0" w:color="auto"/>
        <w:bottom w:val="none" w:sz="0" w:space="0" w:color="auto"/>
        <w:right w:val="none" w:sz="0" w:space="0" w:color="auto"/>
      </w:divBdr>
    </w:div>
    <w:div w:id="903491456">
      <w:bodyDiv w:val="1"/>
      <w:marLeft w:val="0"/>
      <w:marRight w:val="0"/>
      <w:marTop w:val="0"/>
      <w:marBottom w:val="0"/>
      <w:divBdr>
        <w:top w:val="none" w:sz="0" w:space="0" w:color="auto"/>
        <w:left w:val="none" w:sz="0" w:space="0" w:color="auto"/>
        <w:bottom w:val="none" w:sz="0" w:space="0" w:color="auto"/>
        <w:right w:val="none" w:sz="0" w:space="0" w:color="auto"/>
      </w:divBdr>
    </w:div>
    <w:div w:id="990014464">
      <w:bodyDiv w:val="1"/>
      <w:marLeft w:val="0"/>
      <w:marRight w:val="0"/>
      <w:marTop w:val="0"/>
      <w:marBottom w:val="0"/>
      <w:divBdr>
        <w:top w:val="none" w:sz="0" w:space="0" w:color="auto"/>
        <w:left w:val="none" w:sz="0" w:space="0" w:color="auto"/>
        <w:bottom w:val="none" w:sz="0" w:space="0" w:color="auto"/>
        <w:right w:val="none" w:sz="0" w:space="0" w:color="auto"/>
      </w:divBdr>
    </w:div>
    <w:div w:id="1379360045">
      <w:bodyDiv w:val="1"/>
      <w:marLeft w:val="0"/>
      <w:marRight w:val="0"/>
      <w:marTop w:val="0"/>
      <w:marBottom w:val="0"/>
      <w:divBdr>
        <w:top w:val="none" w:sz="0" w:space="0" w:color="auto"/>
        <w:left w:val="none" w:sz="0" w:space="0" w:color="auto"/>
        <w:bottom w:val="none" w:sz="0" w:space="0" w:color="auto"/>
        <w:right w:val="none" w:sz="0" w:space="0" w:color="auto"/>
      </w:divBdr>
    </w:div>
    <w:div w:id="1436827225">
      <w:bodyDiv w:val="1"/>
      <w:marLeft w:val="0"/>
      <w:marRight w:val="0"/>
      <w:marTop w:val="0"/>
      <w:marBottom w:val="0"/>
      <w:divBdr>
        <w:top w:val="none" w:sz="0" w:space="0" w:color="auto"/>
        <w:left w:val="none" w:sz="0" w:space="0" w:color="auto"/>
        <w:bottom w:val="none" w:sz="0" w:space="0" w:color="auto"/>
        <w:right w:val="none" w:sz="0" w:space="0" w:color="auto"/>
      </w:divBdr>
    </w:div>
    <w:div w:id="1536692156">
      <w:bodyDiv w:val="1"/>
      <w:marLeft w:val="0"/>
      <w:marRight w:val="0"/>
      <w:marTop w:val="0"/>
      <w:marBottom w:val="0"/>
      <w:divBdr>
        <w:top w:val="none" w:sz="0" w:space="0" w:color="auto"/>
        <w:left w:val="none" w:sz="0" w:space="0" w:color="auto"/>
        <w:bottom w:val="none" w:sz="0" w:space="0" w:color="auto"/>
        <w:right w:val="none" w:sz="0" w:space="0" w:color="auto"/>
      </w:divBdr>
    </w:div>
    <w:div w:id="1588690411">
      <w:bodyDiv w:val="1"/>
      <w:marLeft w:val="0"/>
      <w:marRight w:val="0"/>
      <w:marTop w:val="0"/>
      <w:marBottom w:val="0"/>
      <w:divBdr>
        <w:top w:val="none" w:sz="0" w:space="0" w:color="auto"/>
        <w:left w:val="none" w:sz="0" w:space="0" w:color="auto"/>
        <w:bottom w:val="none" w:sz="0" w:space="0" w:color="auto"/>
        <w:right w:val="none" w:sz="0" w:space="0" w:color="auto"/>
      </w:divBdr>
    </w:div>
    <w:div w:id="1589188785">
      <w:bodyDiv w:val="1"/>
      <w:marLeft w:val="0"/>
      <w:marRight w:val="0"/>
      <w:marTop w:val="0"/>
      <w:marBottom w:val="0"/>
      <w:divBdr>
        <w:top w:val="none" w:sz="0" w:space="0" w:color="auto"/>
        <w:left w:val="none" w:sz="0" w:space="0" w:color="auto"/>
        <w:bottom w:val="none" w:sz="0" w:space="0" w:color="auto"/>
        <w:right w:val="none" w:sz="0" w:space="0" w:color="auto"/>
      </w:divBdr>
    </w:div>
    <w:div w:id="1975600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7DF15-346F-4653-94AF-C2522620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695</Words>
  <Characters>4171</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ercris</dc:creator>
  <cp:lastModifiedBy>Jakub Goławski</cp:lastModifiedBy>
  <cp:revision>12</cp:revision>
  <dcterms:created xsi:type="dcterms:W3CDTF">2019-12-29T17:59:00Z</dcterms:created>
  <dcterms:modified xsi:type="dcterms:W3CDTF">2020-05-14T08:56:00Z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CC 13.0 (Windows)</vt:lpwstr>
  </property>
  <property fmtid="{D5CDD505-2E9C-101B-9397-08002B2CF9AE}" pid="4" name="LastSaved">
    <vt:filetime>2018-10-12T00:00:00Z</vt:filetime>
  </property>
</Properties>
</file>